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3A7B22EF" w:rsidR="004141DD" w:rsidRPr="00CE0424" w:rsidRDefault="004141DD" w:rsidP="004141DD">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00AA4429">
        <w:t>-bis</w:t>
      </w:r>
      <w:r w:rsidRPr="00CE0424">
        <w:tab/>
      </w:r>
      <w:r w:rsidRPr="00CE0424">
        <w:rPr>
          <w:sz w:val="32"/>
          <w:szCs w:val="32"/>
        </w:rPr>
        <w:t>Tdoc R2-</w:t>
      </w:r>
      <w:r w:rsidRPr="00431AA3">
        <w:rPr>
          <w:sz w:val="32"/>
          <w:szCs w:val="32"/>
        </w:rPr>
        <w:t>16</w:t>
      </w:r>
      <w:r w:rsidR="00431AA3" w:rsidRPr="00431AA3">
        <w:rPr>
          <w:sz w:val="32"/>
          <w:szCs w:val="32"/>
        </w:rPr>
        <w:t>6787</w:t>
      </w:r>
    </w:p>
    <w:p w14:paraId="3AC96DDD" w14:textId="6648D57B" w:rsidR="004141DD" w:rsidRDefault="00AA4429" w:rsidP="004141DD">
      <w:pPr>
        <w:pStyle w:val="CRCoverPage"/>
        <w:outlineLvl w:val="0"/>
        <w:rPr>
          <w:b/>
          <w:noProof/>
          <w:sz w:val="24"/>
        </w:rPr>
      </w:pPr>
      <w:r w:rsidRPr="00AA4429">
        <w:rPr>
          <w:b/>
          <w:noProof/>
          <w:sz w:val="24"/>
        </w:rPr>
        <w:t>Kaohsiung, Taiwan</w:t>
      </w:r>
      <w:r w:rsidR="004141DD" w:rsidRPr="00AB78B2">
        <w:rPr>
          <w:b/>
          <w:noProof/>
          <w:sz w:val="24"/>
        </w:rPr>
        <w:t xml:space="preserve">, </w:t>
      </w:r>
      <w:r w:rsidRPr="00AA4429">
        <w:rPr>
          <w:b/>
          <w:noProof/>
          <w:sz w:val="24"/>
        </w:rPr>
        <w:t>10</w:t>
      </w:r>
      <w:r w:rsidRPr="00AA4429">
        <w:rPr>
          <w:b/>
          <w:noProof/>
          <w:sz w:val="24"/>
          <w:vertAlign w:val="superscript"/>
        </w:rPr>
        <w:t>th</w:t>
      </w:r>
      <w:r>
        <w:rPr>
          <w:b/>
          <w:noProof/>
          <w:sz w:val="24"/>
        </w:rPr>
        <w:t xml:space="preserve"> </w:t>
      </w:r>
      <w:r w:rsidRPr="00AA4429">
        <w:rPr>
          <w:b/>
          <w:noProof/>
          <w:sz w:val="24"/>
        </w:rPr>
        <w:t>-14</w:t>
      </w:r>
      <w:r w:rsidRPr="00AA4429">
        <w:rPr>
          <w:b/>
          <w:noProof/>
          <w:sz w:val="24"/>
          <w:vertAlign w:val="superscript"/>
        </w:rPr>
        <w:t>th</w:t>
      </w:r>
      <w:r>
        <w:rPr>
          <w:b/>
          <w:noProof/>
          <w:sz w:val="24"/>
        </w:rPr>
        <w:t xml:space="preserve"> </w:t>
      </w:r>
      <w:r w:rsidRPr="00AA4429">
        <w:rPr>
          <w:b/>
          <w:noProof/>
          <w:sz w:val="24"/>
        </w:rPr>
        <w:t xml:space="preserve"> October 2016</w:t>
      </w:r>
    </w:p>
    <w:p w14:paraId="1332B1D8" w14:textId="77777777" w:rsidR="00AA4429" w:rsidRDefault="00AA4429" w:rsidP="004141DD">
      <w:pPr>
        <w:tabs>
          <w:tab w:val="left" w:pos="1701"/>
          <w:tab w:val="right" w:pos="9639"/>
        </w:tabs>
        <w:rPr>
          <w:b/>
          <w:sz w:val="22"/>
          <w:szCs w:val="22"/>
          <w:lang w:val="en-US"/>
        </w:rPr>
      </w:pPr>
    </w:p>
    <w:p w14:paraId="7B8DE8D0" w14:textId="48D43897"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431AA3">
        <w:rPr>
          <w:b/>
          <w:sz w:val="22"/>
          <w:szCs w:val="22"/>
          <w:lang w:val="en-US"/>
        </w:rPr>
        <w:t>9.3.2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5A77F4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0BB7D657" w14:textId="154B10EB" w:rsidR="009C524C" w:rsidRDefault="009C524C" w:rsidP="004141DD">
      <w:pPr>
        <w:rPr>
          <w:lang w:val="en-US"/>
        </w:rPr>
      </w:pPr>
      <w:r>
        <w:rPr>
          <w:lang w:val="en-US"/>
        </w:rPr>
        <w:t xml:space="preserve">It has been agreed to support fast mobility between LTE and NR. Further it </w:t>
      </w:r>
      <w:r w:rsidR="00C554A2">
        <w:rPr>
          <w:lang w:val="en-US"/>
        </w:rPr>
        <w:t>is a working assumption in RAN3</w:t>
      </w:r>
      <w:r>
        <w:rPr>
          <w:lang w:val="en-US"/>
        </w:rPr>
        <w:t xml:space="preserve"> that LTE should connect to the Next</w:t>
      </w:r>
      <w:r w:rsidR="00C554A2">
        <w:rPr>
          <w:lang w:val="en-US"/>
        </w:rPr>
        <w:t>Gen CN using the same NG interface</w:t>
      </w:r>
      <w:r>
        <w:rPr>
          <w:lang w:val="en-US"/>
        </w:rPr>
        <w:t xml:space="preserve"> as NR.</w:t>
      </w:r>
    </w:p>
    <w:p w14:paraId="45DBEB74" w14:textId="24E76FA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p>
    <w:p w14:paraId="0E63A864" w14:textId="34C1F1CF" w:rsidR="009C524C" w:rsidRDefault="009C524C" w:rsidP="004141DD">
      <w:pPr>
        <w:rPr>
          <w:lang w:val="en-US"/>
        </w:rPr>
      </w:pPr>
    </w:p>
    <w:p w14:paraId="0F666838" w14:textId="74BCC92A" w:rsidR="00A53F6D" w:rsidRDefault="00A53F6D" w:rsidP="00A53F6D">
      <w:pPr>
        <w:pStyle w:val="Heading1"/>
        <w:rPr>
          <w:lang w:val="en-US"/>
        </w:rPr>
      </w:pPr>
      <w:r>
        <w:rPr>
          <w:lang w:val="en-US"/>
        </w:rPr>
        <w:t>Architecture Overview</w:t>
      </w:r>
    </w:p>
    <w:p w14:paraId="474E2C6D" w14:textId="6E83B54A" w:rsidR="00A53F6D" w:rsidRDefault="00A53F6D" w:rsidP="004141DD">
      <w:pPr>
        <w:rPr>
          <w:lang w:val="en-US"/>
        </w:rPr>
      </w:pPr>
      <w:r>
        <w:rPr>
          <w:lang w:val="en-US"/>
        </w:rPr>
        <w:t>Below shows an overview architecture when both eLTE eNBs and NR gNB is connected to the Next Gen CN.</w:t>
      </w:r>
    </w:p>
    <w:p w14:paraId="3B3EC5BC" w14:textId="4C26F5EA" w:rsidR="00A53F6D" w:rsidRDefault="00A53F6D" w:rsidP="004141DD">
      <w:pPr>
        <w:rPr>
          <w:lang w:val="en-US"/>
        </w:rPr>
      </w:pPr>
    </w:p>
    <w:p w14:paraId="0DB4E688" w14:textId="2B4BBEAE" w:rsidR="00A53F6D" w:rsidRDefault="00A53F6D" w:rsidP="004141DD">
      <w:pPr>
        <w:rPr>
          <w:lang w:val="en-US"/>
        </w:rPr>
      </w:pPr>
      <w:r w:rsidRPr="00A53F6D">
        <w:rPr>
          <w:lang w:val="sv-SE"/>
        </w:rPr>
        <w:object w:dxaOrig="7770" w:dyaOrig="5761" w14:anchorId="133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in" o:ole="">
            <v:imagedata r:id="rId13" o:title=""/>
          </v:shape>
          <o:OLEObject Type="Embed" ProgID="Visio.Drawing.15" ShapeID="_x0000_i1025" DrawAspect="Content" ObjectID="_1536786918" r:id="rId14"/>
        </w:object>
      </w:r>
    </w:p>
    <w:p w14:paraId="00613256" w14:textId="41C43477" w:rsidR="00A53F6D" w:rsidRDefault="00A53F6D" w:rsidP="004141DD">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12383AD3" w14:textId="1403D634" w:rsidR="008729F0" w:rsidRDefault="008729F0" w:rsidP="008729F0">
      <w:pPr>
        <w:pStyle w:val="Heading1"/>
        <w:rPr>
          <w:lang w:val="en-US"/>
        </w:rPr>
      </w:pPr>
      <w:r>
        <w:rPr>
          <w:lang w:val="en-US"/>
        </w:rPr>
        <w:lastRenderedPageBreak/>
        <w:t>Requirements on inter-RAT mobility</w:t>
      </w:r>
    </w:p>
    <w:p w14:paraId="2DB9F195" w14:textId="4D270522" w:rsidR="001552DD" w:rsidRDefault="008729F0" w:rsidP="004141DD">
      <w:pPr>
        <w:rPr>
          <w:lang w:val="en-US"/>
        </w:rPr>
      </w:pPr>
      <w:r>
        <w:rPr>
          <w:lang w:val="en-US"/>
        </w:rPr>
        <w:t>Given the requirements to support tight inter-working and fast mobility between LTE and NR</w:t>
      </w:r>
      <w:r w:rsidR="004F467D">
        <w:rPr>
          <w:lang w:val="en-US"/>
        </w:rPr>
        <w:t>, it</w:t>
      </w:r>
      <w:r>
        <w:rPr>
          <w:lang w:val="en-US"/>
        </w:rPr>
        <w:t xml:space="preserve"> is very beneficial if the mobility procedure is efficient and avoids unnecessary delays. </w:t>
      </w:r>
      <w:r w:rsidR="001552DD">
        <w:rPr>
          <w:lang w:val="en-US"/>
        </w:rPr>
        <w:t xml:space="preserve">For this reason, the following </w:t>
      </w:r>
      <w:r w:rsidR="00AD0262">
        <w:rPr>
          <w:lang w:val="en-US"/>
        </w:rPr>
        <w:t xml:space="preserve">principles </w:t>
      </w:r>
      <w:r w:rsidR="001552DD">
        <w:rPr>
          <w:lang w:val="en-US"/>
        </w:rPr>
        <w:t>are proposed:</w:t>
      </w:r>
    </w:p>
    <w:p w14:paraId="4C15268C" w14:textId="20998052" w:rsidR="001552DD" w:rsidRPr="001552DD" w:rsidRDefault="001552DD" w:rsidP="001552DD">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sidR="004F467D">
        <w:rPr>
          <w:b/>
        </w:rPr>
        <w:t xml:space="preserve">the </w:t>
      </w:r>
      <w:r w:rsidRPr="001552DD">
        <w:rPr>
          <w:b/>
        </w:rPr>
        <w:t xml:space="preserve">UE leaving the source RAT. </w:t>
      </w:r>
    </w:p>
    <w:p w14:paraId="7FCFEE32" w14:textId="377FE47C" w:rsidR="001552DD" w:rsidRDefault="001552DD" w:rsidP="001552DD">
      <w:r>
        <w:t xml:space="preserve">Resource preparation can be </w:t>
      </w:r>
      <w:r w:rsidR="006E1599">
        <w:t xml:space="preserve">triggered </w:t>
      </w:r>
      <w:r>
        <w:t xml:space="preserve">in multiple ways e.g. </w:t>
      </w:r>
      <w:r w:rsidR="006E1599">
        <w:t xml:space="preserve">by the source node </w:t>
      </w:r>
      <w:r>
        <w:t>or over the target radio directly</w:t>
      </w:r>
      <w:r w:rsidR="006E1599">
        <w:t xml:space="preserve"> (triggering context fetch)</w:t>
      </w:r>
      <w:r>
        <w:t xml:space="preserve">. The exact </w:t>
      </w:r>
      <w:r w:rsidR="00EA2E34">
        <w:t xml:space="preserve">solution </w:t>
      </w:r>
      <w:r>
        <w:t xml:space="preserve">are FFS. Regardless which </w:t>
      </w:r>
      <w:r w:rsidR="00EA2E34">
        <w:t xml:space="preserve">solution </w:t>
      </w:r>
      <w:r>
        <w:t>is defined it is assumed that:</w:t>
      </w:r>
    </w:p>
    <w:p w14:paraId="64E89E86" w14:textId="406D28D0" w:rsidR="001552DD" w:rsidRPr="001552DD" w:rsidRDefault="001552DD" w:rsidP="001552DD">
      <w:pPr>
        <w:rPr>
          <w:b/>
          <w:lang w:val="en-US"/>
        </w:rPr>
      </w:pPr>
      <w:r w:rsidRPr="001552DD">
        <w:rPr>
          <w:b/>
        </w:rPr>
        <w:t xml:space="preserve">Proposal 2: </w:t>
      </w:r>
      <w:r w:rsidRPr="001552DD">
        <w:rPr>
          <w:b/>
        </w:rPr>
        <w:tab/>
        <w:t>The UE</w:t>
      </w:r>
      <w:r w:rsidR="00831270">
        <w:rPr>
          <w:b/>
        </w:rPr>
        <w:t xml:space="preserve"> context</w:t>
      </w:r>
      <w:r w:rsidRPr="001552DD">
        <w:rPr>
          <w:b/>
        </w:rPr>
        <w:t xml:space="preserve"> is transferred</w:t>
      </w:r>
      <w:r w:rsidR="006E1599">
        <w:rPr>
          <w:b/>
        </w:rPr>
        <w:t xml:space="preserve"> </w:t>
      </w:r>
      <w:r w:rsidRPr="001552DD">
        <w:rPr>
          <w:b/>
        </w:rPr>
        <w:t xml:space="preserve">from the source RAN node to the target RAN node either via </w:t>
      </w:r>
      <w:r w:rsidR="00AD0262">
        <w:rPr>
          <w:b/>
        </w:rPr>
        <w:t xml:space="preserve">the </w:t>
      </w:r>
      <w:r w:rsidRPr="001552DD">
        <w:rPr>
          <w:b/>
        </w:rPr>
        <w:t>X2 like interface or</w:t>
      </w:r>
      <w:r w:rsidR="00AD0262">
        <w:rPr>
          <w:b/>
        </w:rPr>
        <w:t>,</w:t>
      </w:r>
      <w:r w:rsidRPr="001552DD">
        <w:rPr>
          <w:b/>
        </w:rPr>
        <w:t xml:space="preserve"> when that is not available</w:t>
      </w:r>
      <w:r w:rsidR="00AD0262">
        <w:rPr>
          <w:b/>
        </w:rPr>
        <w:t>,</w:t>
      </w:r>
      <w:r w:rsidRPr="001552DD">
        <w:rPr>
          <w:b/>
        </w:rPr>
        <w:t xml:space="preserve"> via </w:t>
      </w:r>
      <w:r w:rsidR="00AD0262">
        <w:rPr>
          <w:b/>
        </w:rPr>
        <w:t xml:space="preserve">the </w:t>
      </w:r>
      <w:r w:rsidRPr="001552DD">
        <w:rPr>
          <w:b/>
        </w:rPr>
        <w:t>NextGen CN (over NG).</w:t>
      </w:r>
    </w:p>
    <w:p w14:paraId="7AF55D50" w14:textId="23D74413" w:rsidR="006E1599" w:rsidRDefault="006E1599" w:rsidP="006E1599">
      <w:pPr>
        <w:rPr>
          <w:lang w:val="en-US"/>
        </w:rPr>
      </w:pPr>
      <w:r>
        <w:rPr>
          <w:lang w:val="en-US"/>
        </w:rPr>
        <w:t>In addition to context transfer it is also assumed it is required to support loss-less in-sequence delivery of data during the inter-RAT handover</w:t>
      </w:r>
      <w:r w:rsidR="00EA2E34">
        <w:rPr>
          <w:lang w:val="en-US"/>
        </w:rPr>
        <w:t xml:space="preserve"> in order to meet 5G service requirements</w:t>
      </w:r>
      <w:r>
        <w:rPr>
          <w:lang w:val="en-US"/>
        </w:rPr>
        <w:t xml:space="preserve">. </w:t>
      </w:r>
    </w:p>
    <w:p w14:paraId="1EEC4F99" w14:textId="3EFC0A61" w:rsidR="006E1599" w:rsidRPr="006E1599" w:rsidRDefault="006E1599" w:rsidP="006E159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w:t>
      </w:r>
      <w:r w:rsidR="000540F5">
        <w:rPr>
          <w:b/>
        </w:rPr>
        <w:t>y</w:t>
      </w:r>
      <w:r>
        <w:rPr>
          <w:b/>
        </w:rPr>
        <w:t xml:space="preserve"> of user data when required.</w:t>
      </w:r>
    </w:p>
    <w:p w14:paraId="0BCCDD58" w14:textId="04A4B628" w:rsidR="006E1599" w:rsidRDefault="006E1599" w:rsidP="006E1599">
      <w:pPr>
        <w:rPr>
          <w:lang w:val="en-US"/>
        </w:rPr>
      </w:pPr>
      <w:r>
        <w:rPr>
          <w:lang w:val="en-US"/>
        </w:rPr>
        <w:t>In order to achieve this, the source RAN node may need to forward DL packets to the target RAN node as well as sequence number information making it possible to continue PDCP sequence number</w:t>
      </w:r>
      <w:r w:rsidR="00AD0262">
        <w:rPr>
          <w:lang w:val="en-US"/>
        </w:rPr>
        <w:t>ing</w:t>
      </w:r>
      <w:r>
        <w:rPr>
          <w:lang w:val="en-US"/>
        </w:rPr>
        <w:t xml:space="preserve"> which is needed for duplication removal and in</w:t>
      </w:r>
      <w:r w:rsidR="00AD0262">
        <w:rPr>
          <w:lang w:val="en-US"/>
        </w:rPr>
        <w:t>-</w:t>
      </w:r>
      <w:r>
        <w:rPr>
          <w:lang w:val="en-US"/>
        </w:rPr>
        <w:t>sequence deliver. Similarly, it may be needed to forward UL packets in either direction to ensure in-sequence delivery.</w:t>
      </w:r>
    </w:p>
    <w:p w14:paraId="2FB2A8B0" w14:textId="161CEB0A" w:rsidR="006E1599" w:rsidRPr="006E1599" w:rsidRDefault="006E1599" w:rsidP="006E1599">
      <w:pPr>
        <w:rPr>
          <w:b/>
          <w:lang w:val="en-US"/>
        </w:rPr>
      </w:pPr>
      <w:r w:rsidRPr="006E1599">
        <w:rPr>
          <w:b/>
          <w:lang w:val="en-US"/>
        </w:rPr>
        <w:t xml:space="preserve">Proposal 4: </w:t>
      </w:r>
      <w:r w:rsidRPr="006E1599">
        <w:rPr>
          <w:b/>
          <w:lang w:val="en-US"/>
        </w:rPr>
        <w:tab/>
        <w:t>Packet forwarding and maint</w:t>
      </w:r>
      <w:r w:rsidR="00DD7AD7">
        <w:rPr>
          <w:b/>
          <w:lang w:val="en-US"/>
        </w:rPr>
        <w:t>en</w:t>
      </w:r>
      <w:r w:rsidRPr="006E1599">
        <w:rPr>
          <w:b/>
          <w:lang w:val="en-US"/>
        </w:rPr>
        <w:t>ance of PDCP sequence numbers should be supported for inter-RAT handover between LTE and NR connected to Next Gen CN.</w:t>
      </w:r>
    </w:p>
    <w:p w14:paraId="21349686" w14:textId="77777777" w:rsidR="006E1599" w:rsidRDefault="006E1599" w:rsidP="006E1599">
      <w:pPr>
        <w:rPr>
          <w:lang w:val="en-US"/>
        </w:rPr>
      </w:pP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BBA5DD" w:rsidR="008729F0" w:rsidRDefault="00D55264" w:rsidP="00D55264">
      <w:pPr>
        <w:rPr>
          <w:b/>
        </w:rPr>
      </w:pPr>
      <w:r w:rsidRPr="00D55264">
        <w:rPr>
          <w:b/>
        </w:rPr>
        <w:t>Proposal 5:</w:t>
      </w:r>
      <w:r w:rsidRPr="00D55264">
        <w:rPr>
          <w:b/>
        </w:rPr>
        <w:tab/>
      </w:r>
      <w:r>
        <w:rPr>
          <w:b/>
        </w:rPr>
        <w:tab/>
      </w:r>
      <w:r w:rsidRPr="00D55264">
        <w:rPr>
          <w:b/>
        </w:rPr>
        <w:t xml:space="preserve">It is proposed to capture the parameters </w:t>
      </w:r>
      <w:r w:rsidR="000C57C8">
        <w:rPr>
          <w:b/>
        </w:rPr>
        <w:t xml:space="preserve">below </w:t>
      </w:r>
      <w:r w:rsidR="00020B37">
        <w:rPr>
          <w:b/>
        </w:rPr>
        <w:t xml:space="preserve">as an initial list of </w:t>
      </w:r>
      <w:r w:rsidRPr="00D55264">
        <w:rPr>
          <w:b/>
        </w:rPr>
        <w:t>identified parameters to be transferred between</w:t>
      </w:r>
      <w:r w:rsidR="00B72A68">
        <w:rPr>
          <w:b/>
        </w:rPr>
        <w:t xml:space="preserve"> the</w:t>
      </w:r>
      <w:r w:rsidRPr="00D55264">
        <w:rPr>
          <w:b/>
        </w:rPr>
        <w:t xml:space="preserve"> source and target RAN node for inter-RAT handover between LTE and NR </w:t>
      </w:r>
      <w:r w:rsidR="00B72A68">
        <w:rPr>
          <w:b/>
        </w:rPr>
        <w:t xml:space="preserve">(in either direction) </w:t>
      </w:r>
      <w:r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bookmarkStart w:id="3" w:name="_GoBack"/>
      <w:bookmarkEnd w:id="3"/>
    </w:p>
    <w:p w14:paraId="3C8CA806" w14:textId="77777777" w:rsidR="000C57C8" w:rsidRPr="008A3189" w:rsidRDefault="000C57C8" w:rsidP="000C57C8">
      <w:pPr>
        <w:pStyle w:val="ListParagraph"/>
        <w:numPr>
          <w:ilvl w:val="0"/>
          <w:numId w:val="24"/>
        </w:numPr>
        <w:rPr>
          <w:b/>
        </w:rPr>
      </w:pPr>
      <w:r w:rsidRPr="008A3189">
        <w:rPr>
          <w:b/>
        </w:rPr>
        <w:lastRenderedPageBreak/>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42D6DB6A" w:rsidR="00D55264" w:rsidRPr="00D55264" w:rsidRDefault="00D55264" w:rsidP="004141DD">
      <w:pPr>
        <w:rPr>
          <w:b/>
          <w:lang w:val="en-US"/>
        </w:rPr>
      </w:pPr>
      <w:r w:rsidRPr="00D55264">
        <w:rPr>
          <w:b/>
          <w:lang w:val="en-US"/>
        </w:rPr>
        <w:t xml:space="preserve">Proposal 6: </w:t>
      </w:r>
      <w:r w:rsidRPr="00D55264">
        <w:rPr>
          <w:b/>
          <w:lang w:val="en-US"/>
        </w:rPr>
        <w:tab/>
        <w:t>For inter-RAT handover the source RAN node will indicate to the target RAN node which is the “target cell”.</w:t>
      </w:r>
    </w:p>
    <w:p w14:paraId="76BA867B" w14:textId="6C2EFCE0" w:rsidR="006A24A3" w:rsidRPr="00BD321A" w:rsidRDefault="00D55264" w:rsidP="00BD321A">
      <w:pPr>
        <w:rPr>
          <w:b/>
          <w:lang w:val="en-US"/>
        </w:rPr>
      </w:pPr>
      <w:r w:rsidRPr="00D55264">
        <w:rPr>
          <w:b/>
          <w:lang w:val="en-US"/>
        </w:rPr>
        <w:t xml:space="preserve">Proposal 7: </w:t>
      </w:r>
      <w:r w:rsidRPr="00D55264">
        <w:rPr>
          <w:b/>
          <w:lang w:val="en-US"/>
        </w:rPr>
        <w:tab/>
        <w:t>For inter-RAT handover the target RAN node will generate an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364E7975" w14:textId="77777777" w:rsidR="008A3189" w:rsidRPr="001552DD" w:rsidRDefault="008A3189" w:rsidP="008A3189">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Pr>
          <w:b/>
        </w:rPr>
        <w:t xml:space="preserve">the </w:t>
      </w:r>
      <w:r w:rsidRPr="001552DD">
        <w:rPr>
          <w:b/>
        </w:rPr>
        <w:t xml:space="preserve">UE leaving the source RAT. </w:t>
      </w:r>
    </w:p>
    <w:p w14:paraId="4EBBFE02" w14:textId="77777777" w:rsidR="008A3189" w:rsidRPr="001552DD" w:rsidRDefault="008A3189" w:rsidP="008A3189">
      <w:pPr>
        <w:rPr>
          <w:b/>
          <w:lang w:val="en-US"/>
        </w:rPr>
      </w:pPr>
      <w:r w:rsidRPr="001552DD">
        <w:rPr>
          <w:b/>
        </w:rPr>
        <w:t xml:space="preserve">Proposal 2: </w:t>
      </w:r>
      <w:r w:rsidRPr="001552DD">
        <w:rPr>
          <w:b/>
        </w:rPr>
        <w:tab/>
        <w:t>The UE</w:t>
      </w:r>
      <w:r>
        <w:rPr>
          <w:b/>
        </w:rPr>
        <w:t xml:space="preserve"> context</w:t>
      </w:r>
      <w:r w:rsidRPr="001552DD">
        <w:rPr>
          <w:b/>
        </w:rPr>
        <w:t xml:space="preserve"> is transferred</w:t>
      </w:r>
      <w:r>
        <w:rPr>
          <w:b/>
        </w:rPr>
        <w:t xml:space="preserve"> </w:t>
      </w:r>
      <w:r w:rsidRPr="001552DD">
        <w:rPr>
          <w:b/>
        </w:rPr>
        <w:t xml:space="preserve">from the source RAN node to the target RAN node either via </w:t>
      </w:r>
      <w:r>
        <w:rPr>
          <w:b/>
        </w:rPr>
        <w:t xml:space="preserve">the </w:t>
      </w:r>
      <w:r w:rsidRPr="001552DD">
        <w:rPr>
          <w:b/>
        </w:rPr>
        <w:t>X2 like interface or</w:t>
      </w:r>
      <w:r>
        <w:rPr>
          <w:b/>
        </w:rPr>
        <w:t>,</w:t>
      </w:r>
      <w:r w:rsidRPr="001552DD">
        <w:rPr>
          <w:b/>
        </w:rPr>
        <w:t xml:space="preserve"> when that is not available</w:t>
      </w:r>
      <w:r>
        <w:rPr>
          <w:b/>
        </w:rPr>
        <w:t>,</w:t>
      </w:r>
      <w:r w:rsidRPr="001552DD">
        <w:rPr>
          <w:b/>
        </w:rPr>
        <w:t xml:space="preserve"> via </w:t>
      </w:r>
      <w:r>
        <w:rPr>
          <w:b/>
        </w:rPr>
        <w:t xml:space="preserve">the </w:t>
      </w:r>
      <w:r w:rsidRPr="001552DD">
        <w:rPr>
          <w:b/>
        </w:rPr>
        <w:t>NextGen CN (over NG).</w:t>
      </w:r>
    </w:p>
    <w:p w14:paraId="7EF8DC00" w14:textId="77777777" w:rsidR="008A3189" w:rsidRPr="006E1599" w:rsidRDefault="008A3189" w:rsidP="008A318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 of user data when required.</w:t>
      </w:r>
    </w:p>
    <w:p w14:paraId="6E7003AF" w14:textId="77777777" w:rsidR="008A3189" w:rsidRPr="006E1599" w:rsidRDefault="008A3189" w:rsidP="008A3189">
      <w:pPr>
        <w:rPr>
          <w:b/>
          <w:lang w:val="en-US"/>
        </w:rPr>
      </w:pPr>
      <w:r w:rsidRPr="006E1599">
        <w:rPr>
          <w:b/>
          <w:lang w:val="en-US"/>
        </w:rPr>
        <w:t xml:space="preserve">Proposal 4: </w:t>
      </w:r>
      <w:r w:rsidRPr="006E1599">
        <w:rPr>
          <w:b/>
          <w:lang w:val="en-US"/>
        </w:rPr>
        <w:tab/>
        <w:t>Packet forwarding and maint</w:t>
      </w:r>
      <w:r>
        <w:rPr>
          <w:b/>
          <w:lang w:val="en-US"/>
        </w:rPr>
        <w:t>en</w:t>
      </w:r>
      <w:r w:rsidRPr="006E1599">
        <w:rPr>
          <w:b/>
          <w:lang w:val="en-US"/>
        </w:rPr>
        <w:t>ance of PDCP sequence numbers should be supported for inter-RAT handover between LTE and NR connected to Next Gen CN.</w:t>
      </w:r>
    </w:p>
    <w:p w14:paraId="1FF0C8B7" w14:textId="77777777" w:rsidR="008A3189" w:rsidRDefault="008A3189" w:rsidP="008A3189">
      <w:pPr>
        <w:rPr>
          <w:b/>
        </w:rPr>
      </w:pPr>
      <w:r w:rsidRPr="00D55264">
        <w:rPr>
          <w:b/>
        </w:rPr>
        <w:t>Proposal 5:</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77777777" w:rsidR="008A3189" w:rsidRPr="008A3189" w:rsidRDefault="008A3189" w:rsidP="008A3189">
      <w:pPr>
        <w:rPr>
          <w:b/>
        </w:rPr>
      </w:pPr>
      <w:r w:rsidRPr="008A3189">
        <w:rPr>
          <w:b/>
        </w:rPr>
        <w:t xml:space="preserve">Proposal 6: </w:t>
      </w:r>
      <w:r w:rsidRPr="008A3189">
        <w:rPr>
          <w:b/>
        </w:rPr>
        <w:tab/>
        <w:t>For inter-RAT handover the source RAN node will indicate to the target RAN node which is the “target cell”.</w:t>
      </w:r>
    </w:p>
    <w:p w14:paraId="57F7080F" w14:textId="77777777" w:rsidR="008A3189" w:rsidRPr="008A3189" w:rsidRDefault="008A3189" w:rsidP="008A3189">
      <w:pPr>
        <w:rPr>
          <w:b/>
        </w:rPr>
      </w:pPr>
      <w:r w:rsidRPr="008A3189">
        <w:rPr>
          <w:b/>
        </w:rPr>
        <w:t xml:space="preserve">Proposal 7: </w:t>
      </w:r>
      <w:r w:rsidRPr="008A3189">
        <w:rPr>
          <w:b/>
        </w:rPr>
        <w:tab/>
        <w:t>For inter-RAT handover the target RAN node will generate an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2A5DC" w14:textId="77777777" w:rsidR="001E4EFD" w:rsidRDefault="001E4EFD">
      <w:r>
        <w:separator/>
      </w:r>
    </w:p>
  </w:endnote>
  <w:endnote w:type="continuationSeparator" w:id="0">
    <w:p w14:paraId="3FB6A4A4" w14:textId="77777777" w:rsidR="001E4EFD" w:rsidRDefault="001E4EFD">
      <w:r>
        <w:continuationSeparator/>
      </w:r>
    </w:p>
  </w:endnote>
  <w:endnote w:type="continuationNotice" w:id="1">
    <w:p w14:paraId="3FEB1135" w14:textId="77777777" w:rsidR="001E4EFD" w:rsidRDefault="001E4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069A02F"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40F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0F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C844E" w14:textId="77777777" w:rsidR="001E4EFD" w:rsidRDefault="001E4EFD">
      <w:r>
        <w:separator/>
      </w:r>
    </w:p>
  </w:footnote>
  <w:footnote w:type="continuationSeparator" w:id="0">
    <w:p w14:paraId="27EE9742" w14:textId="77777777" w:rsidR="001E4EFD" w:rsidRDefault="001E4EFD">
      <w:r>
        <w:continuationSeparator/>
      </w:r>
    </w:p>
  </w:footnote>
  <w:footnote w:type="continuationNotice" w:id="1">
    <w:p w14:paraId="78F9565D" w14:textId="77777777" w:rsidR="001E4EFD" w:rsidRDefault="001E4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6"/>
  </w:num>
  <w:num w:numId="8">
    <w:abstractNumId w:val="6"/>
  </w:num>
  <w:num w:numId="9">
    <w:abstractNumId w:val="12"/>
  </w:num>
  <w:num w:numId="10">
    <w:abstractNumId w:val="13"/>
  </w:num>
  <w:num w:numId="11">
    <w:abstractNumId w:val="7"/>
  </w:num>
  <w:num w:numId="12">
    <w:abstractNumId w:val="7"/>
    <w:lvlOverride w:ilvl="0">
      <w:startOverride w:val="1"/>
    </w:lvlOverride>
  </w:num>
  <w:num w:numId="13">
    <w:abstractNumId w:val="10"/>
  </w:num>
  <w:num w:numId="14">
    <w:abstractNumId w:val="15"/>
  </w:num>
  <w:num w:numId="15">
    <w:abstractNumId w:val="19"/>
  </w:num>
  <w:num w:numId="16">
    <w:abstractNumId w:val="1"/>
  </w:num>
  <w:num w:numId="17">
    <w:abstractNumId w:val="7"/>
  </w:num>
  <w:num w:numId="18">
    <w:abstractNumId w:val="7"/>
    <w:lvlOverride w:ilvl="0">
      <w:startOverride w:val="1"/>
    </w:lvlOverride>
  </w:num>
  <w:num w:numId="19">
    <w:abstractNumId w:val="14"/>
  </w:num>
  <w:num w:numId="20">
    <w:abstractNumId w:val="2"/>
  </w:num>
  <w:num w:numId="21">
    <w:abstractNumId w:val="18"/>
  </w:num>
  <w:num w:numId="22">
    <w:abstractNumId w:val="4"/>
  </w:num>
  <w:num w:numId="23">
    <w:abstractNumId w:val="3"/>
  </w:num>
  <w:num w:numId="24">
    <w:abstractNumId w:val="17"/>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C15"/>
    <w:rsid w:val="00036BA1"/>
    <w:rsid w:val="000422E2"/>
    <w:rsid w:val="00042F22"/>
    <w:rsid w:val="0004395C"/>
    <w:rsid w:val="000444EF"/>
    <w:rsid w:val="00052A07"/>
    <w:rsid w:val="000534E3"/>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1270"/>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B487F76-203C-48D8-8470-ECC11FF6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TotalTime>
  <Pages>3</Pages>
  <Words>760</Words>
  <Characters>6160</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Stefan Wager</cp:lastModifiedBy>
  <cp:revision>8</cp:revision>
  <cp:lastPrinted>2016-01-26T08:44:00Z</cp:lastPrinted>
  <dcterms:created xsi:type="dcterms:W3CDTF">2016-09-26T12:15:00Z</dcterms:created>
  <dcterms:modified xsi:type="dcterms:W3CDTF">2016-09-30T21:28:00Z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